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81DC3" w14:textId="77777777" w:rsidR="00464FA1" w:rsidRDefault="00464FA1">
      <w:pPr>
        <w:pStyle w:val="BodyText"/>
        <w:spacing w:before="9"/>
        <w:rPr>
          <w:rFonts w:ascii="Times New Roman"/>
          <w:sz w:val="26"/>
        </w:rPr>
      </w:pPr>
    </w:p>
    <w:p w14:paraId="017AA99F" w14:textId="77777777" w:rsidR="00464FA1" w:rsidRDefault="00AA4DCA">
      <w:pPr>
        <w:pStyle w:val="BodyText"/>
        <w:ind w:left="74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7BA0A6C" wp14:editId="472EA514">
            <wp:extent cx="2392615" cy="11216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15" cy="112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9DBD4" w14:textId="77777777" w:rsidR="00464FA1" w:rsidRDefault="00464FA1">
      <w:pPr>
        <w:pStyle w:val="BodyText"/>
        <w:spacing w:before="10"/>
        <w:rPr>
          <w:rFonts w:ascii="Times New Roman"/>
          <w:sz w:val="29"/>
        </w:rPr>
      </w:pPr>
    </w:p>
    <w:p w14:paraId="30032E28" w14:textId="77777777" w:rsidR="00464FA1" w:rsidRDefault="00AA4DCA">
      <w:pPr>
        <w:spacing w:before="35"/>
        <w:ind w:left="2300"/>
        <w:rPr>
          <w:rFonts w:ascii="Georgia"/>
          <w:sz w:val="42"/>
        </w:rPr>
      </w:pPr>
      <w:r>
        <w:rPr>
          <w:rFonts w:ascii="Georgia"/>
          <w:color w:val="231F20"/>
          <w:sz w:val="42"/>
        </w:rPr>
        <w:t>NURSING SCHOLARSHIPS AVAILABLE!</w:t>
      </w:r>
    </w:p>
    <w:p w14:paraId="050E872E" w14:textId="4BA81C17" w:rsidR="00464FA1" w:rsidRDefault="00AA4DCA">
      <w:pPr>
        <w:pStyle w:val="BodyText"/>
        <w:spacing w:before="252"/>
        <w:ind w:left="2443" w:right="243"/>
      </w:pPr>
      <w:r>
        <w:rPr>
          <w:color w:val="231F20"/>
        </w:rPr>
        <w:t xml:space="preserve">The National American Arab Nurses Association (NAANA) is pleased to announce its annual scholarships, awarded to the most meritorious applicants who are engaged in studying nursing at the Associate Degree, </w:t>
      </w:r>
      <w:r w:rsidR="00A470B2">
        <w:rPr>
          <w:color w:val="231F20"/>
        </w:rPr>
        <w:t>Bachelor D</w:t>
      </w:r>
      <w:r>
        <w:rPr>
          <w:color w:val="231F20"/>
        </w:rPr>
        <w:t>egree, RN-BSN, or BSN-MSN (</w:t>
      </w:r>
      <w:r w:rsidR="00A470B2">
        <w:rPr>
          <w:color w:val="231F20"/>
        </w:rPr>
        <w:t>master’s in nursing</w:t>
      </w:r>
      <w:r>
        <w:rPr>
          <w:color w:val="231F20"/>
        </w:rPr>
        <w:t>) levels. Annually $500 to $1000 scholarships are awarded, depending on the funds available in a given year. The scholarships should be applied toward tuition and/or books in the academic year they are awarded.</w:t>
      </w:r>
    </w:p>
    <w:p w14:paraId="1964B09A" w14:textId="77777777" w:rsidR="00464FA1" w:rsidRDefault="00AA4DCA">
      <w:pPr>
        <w:spacing w:before="244"/>
        <w:ind w:left="2476"/>
        <w:rPr>
          <w:b/>
          <w:sz w:val="28"/>
        </w:rPr>
      </w:pPr>
      <w:r>
        <w:rPr>
          <w:b/>
          <w:color w:val="231F20"/>
          <w:sz w:val="28"/>
        </w:rPr>
        <w:t>Do you qualify?</w:t>
      </w:r>
    </w:p>
    <w:p w14:paraId="46D7C2F6" w14:textId="2AA7517E" w:rsidR="00464FA1" w:rsidRDefault="00AA4DCA">
      <w:pPr>
        <w:pStyle w:val="ListParagraph"/>
        <w:numPr>
          <w:ilvl w:val="0"/>
          <w:numId w:val="1"/>
        </w:numPr>
        <w:tabs>
          <w:tab w:val="left" w:pos="2835"/>
          <w:tab w:val="left" w:pos="2837"/>
        </w:tabs>
        <w:spacing w:before="278"/>
        <w:ind w:right="731"/>
        <w:rPr>
          <w:sz w:val="24"/>
        </w:rPr>
      </w:pPr>
      <w:r>
        <w:rPr>
          <w:color w:val="231F20"/>
          <w:sz w:val="24"/>
        </w:rPr>
        <w:t>Applicants must provide proof of acceptance or enrol</w:t>
      </w:r>
      <w:r w:rsidR="00AF35CC">
        <w:rPr>
          <w:color w:val="231F20"/>
          <w:sz w:val="24"/>
        </w:rPr>
        <w:t>lment</w:t>
      </w:r>
      <w:r>
        <w:rPr>
          <w:color w:val="231F20"/>
          <w:sz w:val="24"/>
        </w:rPr>
        <w:t xml:space="preserve"> in an accredited nursing program at the time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of application.</w:t>
      </w:r>
    </w:p>
    <w:p w14:paraId="5E5F27FD" w14:textId="77777777" w:rsidR="00464FA1" w:rsidRDefault="00AA4DCA">
      <w:pPr>
        <w:pStyle w:val="ListParagraph"/>
        <w:numPr>
          <w:ilvl w:val="1"/>
          <w:numId w:val="1"/>
        </w:numPr>
        <w:tabs>
          <w:tab w:val="left" w:pos="3135"/>
          <w:tab w:val="left" w:pos="3137"/>
        </w:tabs>
        <w:spacing w:line="237" w:lineRule="auto"/>
        <w:ind w:right="507"/>
        <w:rPr>
          <w:sz w:val="24"/>
        </w:rPr>
      </w:pPr>
      <w:r>
        <w:rPr>
          <w:color w:val="231F20"/>
          <w:sz w:val="24"/>
        </w:rPr>
        <w:t>Applicants must be of Arab heritage, citizens or permanent residents of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the United States, and must reside within the US or its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territories.</w:t>
      </w:r>
    </w:p>
    <w:p w14:paraId="799C6FEF" w14:textId="77777777" w:rsidR="00464FA1" w:rsidRDefault="00AA4DCA">
      <w:pPr>
        <w:pStyle w:val="ListParagraph"/>
        <w:numPr>
          <w:ilvl w:val="3"/>
          <w:numId w:val="1"/>
        </w:numPr>
        <w:tabs>
          <w:tab w:val="left" w:pos="3595"/>
          <w:tab w:val="left" w:pos="3597"/>
        </w:tabs>
        <w:spacing w:line="237" w:lineRule="auto"/>
        <w:ind w:right="367"/>
        <w:rPr>
          <w:sz w:val="24"/>
        </w:rPr>
      </w:pPr>
      <w:r>
        <w:rPr>
          <w:color w:val="231F20"/>
          <w:sz w:val="24"/>
        </w:rPr>
        <w:t>Academic excellence, exemplified by achievement of a grade point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aver- age [GPA] of 3.0 [on a 4-point scale] or its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equivalent.</w:t>
      </w:r>
    </w:p>
    <w:p w14:paraId="017F10B3" w14:textId="77777777" w:rsidR="00464FA1" w:rsidRDefault="00AA4DCA">
      <w:pPr>
        <w:pStyle w:val="ListParagraph"/>
        <w:numPr>
          <w:ilvl w:val="4"/>
          <w:numId w:val="1"/>
        </w:numPr>
        <w:tabs>
          <w:tab w:val="left" w:pos="3795"/>
          <w:tab w:val="left" w:pos="3797"/>
        </w:tabs>
        <w:ind w:right="834"/>
        <w:rPr>
          <w:sz w:val="24"/>
        </w:rPr>
      </w:pPr>
      <w:r>
        <w:rPr>
          <w:color w:val="231F20"/>
          <w:sz w:val="24"/>
        </w:rPr>
        <w:t>Demonstrated leadership (academic, professional, and/or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through student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organizations).</w:t>
      </w:r>
    </w:p>
    <w:p w14:paraId="02B053A9" w14:textId="77777777" w:rsidR="00464FA1" w:rsidRDefault="00AA4DCA">
      <w:pPr>
        <w:pStyle w:val="ListParagraph"/>
        <w:numPr>
          <w:ilvl w:val="5"/>
          <w:numId w:val="1"/>
        </w:numPr>
        <w:tabs>
          <w:tab w:val="left" w:pos="4355"/>
          <w:tab w:val="left" w:pos="4357"/>
        </w:tabs>
        <w:spacing w:line="237" w:lineRule="auto"/>
        <w:ind w:right="326"/>
        <w:rPr>
          <w:sz w:val="24"/>
        </w:rPr>
      </w:pPr>
      <w:r>
        <w:rPr>
          <w:noProof/>
        </w:rPr>
        <w:drawing>
          <wp:anchor distT="0" distB="0" distL="0" distR="0" simplePos="0" relativeHeight="268432751" behindDoc="1" locked="0" layoutInCell="1" allowOverlap="1" wp14:anchorId="637FD3EB" wp14:editId="39F1CE8A">
            <wp:simplePos x="0" y="0"/>
            <wp:positionH relativeFrom="page">
              <wp:posOffset>4306437</wp:posOffset>
            </wp:positionH>
            <wp:positionV relativeFrom="paragraph">
              <wp:posOffset>197876</wp:posOffset>
            </wp:positionV>
            <wp:extent cx="2863178" cy="28498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178" cy="2849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4"/>
        </w:rPr>
        <w:t>Evidence of engagement in and contribution to the health care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of the Arab American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4"/>
          <w:sz w:val="24"/>
        </w:rPr>
        <w:t>community.</w:t>
      </w:r>
    </w:p>
    <w:p w14:paraId="41862973" w14:textId="77777777" w:rsidR="00464FA1" w:rsidRDefault="00464FA1">
      <w:pPr>
        <w:pStyle w:val="BodyText"/>
        <w:rPr>
          <w:sz w:val="20"/>
        </w:rPr>
      </w:pPr>
    </w:p>
    <w:p w14:paraId="52F108D0" w14:textId="77777777" w:rsidR="00464FA1" w:rsidRDefault="00464FA1">
      <w:pPr>
        <w:pStyle w:val="BodyText"/>
        <w:rPr>
          <w:sz w:val="20"/>
        </w:rPr>
      </w:pPr>
    </w:p>
    <w:p w14:paraId="03EBF19A" w14:textId="77777777" w:rsidR="00464FA1" w:rsidRDefault="00464FA1">
      <w:pPr>
        <w:pStyle w:val="BodyText"/>
        <w:rPr>
          <w:sz w:val="20"/>
        </w:rPr>
      </w:pPr>
    </w:p>
    <w:p w14:paraId="0DA052DA" w14:textId="77777777" w:rsidR="00464FA1" w:rsidRDefault="00464FA1">
      <w:pPr>
        <w:pStyle w:val="BodyText"/>
        <w:rPr>
          <w:sz w:val="20"/>
        </w:rPr>
      </w:pPr>
    </w:p>
    <w:p w14:paraId="5A97279F" w14:textId="77777777" w:rsidR="00464FA1" w:rsidRDefault="00464FA1">
      <w:pPr>
        <w:pStyle w:val="BodyText"/>
        <w:rPr>
          <w:sz w:val="20"/>
        </w:rPr>
      </w:pPr>
    </w:p>
    <w:p w14:paraId="73D7E1F7" w14:textId="77777777" w:rsidR="00464FA1" w:rsidRDefault="00464FA1">
      <w:pPr>
        <w:pStyle w:val="BodyText"/>
        <w:spacing w:before="7"/>
        <w:rPr>
          <w:sz w:val="15"/>
        </w:rPr>
      </w:pPr>
    </w:p>
    <w:p w14:paraId="3C04AD74" w14:textId="77777777" w:rsidR="00464FA1" w:rsidRDefault="00464FA1">
      <w:pPr>
        <w:rPr>
          <w:sz w:val="15"/>
        </w:rPr>
        <w:sectPr w:rsidR="00464FA1">
          <w:type w:val="continuous"/>
          <w:pgSz w:w="12240" w:h="15840"/>
          <w:pgMar w:top="0" w:right="420" w:bottom="0" w:left="220" w:header="720" w:footer="720" w:gutter="0"/>
          <w:cols w:space="720"/>
        </w:sectPr>
      </w:pPr>
    </w:p>
    <w:p w14:paraId="1A7F0433" w14:textId="77777777" w:rsidR="00464FA1" w:rsidRDefault="00AA4DCA">
      <w:pPr>
        <w:pStyle w:val="Heading1"/>
        <w:spacing w:before="14"/>
        <w:ind w:left="1060"/>
        <w:jc w:val="left"/>
      </w:pPr>
      <w:r>
        <w:rPr>
          <w:noProof/>
        </w:rPr>
        <w:drawing>
          <wp:anchor distT="0" distB="0" distL="0" distR="0" simplePos="0" relativeHeight="268432727" behindDoc="1" locked="0" layoutInCell="1" allowOverlap="1" wp14:anchorId="0C8D5AC1" wp14:editId="25DF50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540868" cy="100584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0868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105"/>
        </w:rPr>
        <w:t>NAANA</w:t>
      </w:r>
    </w:p>
    <w:p w14:paraId="15D0CFD4" w14:textId="77777777" w:rsidR="00464FA1" w:rsidRDefault="00AA4DCA">
      <w:pPr>
        <w:spacing w:before="26" w:line="249" w:lineRule="auto"/>
        <w:ind w:left="279" w:right="203" w:hanging="1"/>
        <w:jc w:val="center"/>
        <w:rPr>
          <w:rFonts w:ascii="Times New Roman"/>
          <w:b/>
          <w:sz w:val="52"/>
        </w:rPr>
      </w:pPr>
      <w:r>
        <w:rPr>
          <w:rFonts w:ascii="Times New Roman"/>
          <w:b/>
          <w:color w:val="FFFFFF"/>
          <w:w w:val="125"/>
          <w:sz w:val="52"/>
        </w:rPr>
        <w:t xml:space="preserve">Nursing Scholarship </w:t>
      </w:r>
      <w:r>
        <w:rPr>
          <w:rFonts w:ascii="Times New Roman"/>
          <w:b/>
          <w:color w:val="FFFFFF"/>
          <w:w w:val="120"/>
          <w:sz w:val="52"/>
        </w:rPr>
        <w:t xml:space="preserve">Applications </w:t>
      </w:r>
      <w:r>
        <w:rPr>
          <w:rFonts w:ascii="Times New Roman"/>
          <w:b/>
          <w:color w:val="FFFFFF"/>
          <w:w w:val="125"/>
          <w:sz w:val="52"/>
        </w:rPr>
        <w:t>Due</w:t>
      </w:r>
    </w:p>
    <w:p w14:paraId="06C1AD71" w14:textId="6CFEDE5E" w:rsidR="00464FA1" w:rsidRDefault="00AA4DCA">
      <w:pPr>
        <w:spacing w:before="8"/>
        <w:ind w:left="105" w:right="31"/>
        <w:jc w:val="center"/>
        <w:rPr>
          <w:rFonts w:ascii="Times New Roman"/>
          <w:b/>
          <w:sz w:val="52"/>
        </w:rPr>
      </w:pPr>
      <w:r>
        <w:rPr>
          <w:rFonts w:ascii="Times New Roman"/>
          <w:b/>
          <w:color w:val="FFFFFF"/>
          <w:w w:val="115"/>
          <w:sz w:val="52"/>
        </w:rPr>
        <w:t>J</w:t>
      </w:r>
      <w:r w:rsidR="00BF343A">
        <w:rPr>
          <w:rFonts w:ascii="Times New Roman"/>
          <w:b/>
          <w:color w:val="FFFFFF"/>
          <w:w w:val="115"/>
          <w:sz w:val="52"/>
        </w:rPr>
        <w:t>une</w:t>
      </w:r>
      <w:r>
        <w:rPr>
          <w:rFonts w:ascii="Times New Roman"/>
          <w:b/>
          <w:color w:val="FFFFFF"/>
          <w:w w:val="115"/>
          <w:sz w:val="52"/>
        </w:rPr>
        <w:t xml:space="preserve"> 30, 201</w:t>
      </w:r>
      <w:r w:rsidR="00BF343A">
        <w:rPr>
          <w:rFonts w:ascii="Times New Roman"/>
          <w:b/>
          <w:color w:val="FFFFFF"/>
          <w:w w:val="115"/>
          <w:sz w:val="52"/>
        </w:rPr>
        <w:t>9</w:t>
      </w:r>
    </w:p>
    <w:p w14:paraId="4F278F15" w14:textId="77777777" w:rsidR="00464FA1" w:rsidRDefault="00AA4DCA">
      <w:pPr>
        <w:pStyle w:val="BodyText"/>
        <w:rPr>
          <w:rFonts w:ascii="Times New Roman"/>
          <w:b/>
          <w:sz w:val="28"/>
        </w:rPr>
      </w:pPr>
      <w:r>
        <w:br w:type="column"/>
      </w:r>
    </w:p>
    <w:p w14:paraId="3BA8F9F6" w14:textId="77777777" w:rsidR="00464FA1" w:rsidRDefault="00464FA1">
      <w:pPr>
        <w:pStyle w:val="BodyText"/>
        <w:rPr>
          <w:rFonts w:ascii="Times New Roman"/>
          <w:b/>
          <w:sz w:val="28"/>
        </w:rPr>
      </w:pPr>
    </w:p>
    <w:p w14:paraId="5C8A2A55" w14:textId="77777777" w:rsidR="00464FA1" w:rsidRDefault="00464FA1">
      <w:pPr>
        <w:pStyle w:val="BodyText"/>
        <w:rPr>
          <w:rFonts w:ascii="Times New Roman"/>
          <w:b/>
          <w:sz w:val="28"/>
        </w:rPr>
      </w:pPr>
    </w:p>
    <w:p w14:paraId="3B86E229" w14:textId="77777777" w:rsidR="00464FA1" w:rsidRDefault="00464FA1">
      <w:pPr>
        <w:pStyle w:val="BodyText"/>
        <w:rPr>
          <w:rFonts w:ascii="Times New Roman"/>
          <w:b/>
          <w:sz w:val="28"/>
        </w:rPr>
      </w:pPr>
    </w:p>
    <w:p w14:paraId="409F0C39" w14:textId="77777777" w:rsidR="00464FA1" w:rsidRDefault="00464FA1">
      <w:pPr>
        <w:pStyle w:val="BodyText"/>
        <w:rPr>
          <w:rFonts w:ascii="Times New Roman"/>
          <w:b/>
          <w:sz w:val="28"/>
        </w:rPr>
      </w:pPr>
    </w:p>
    <w:p w14:paraId="30A4AB91" w14:textId="77777777" w:rsidR="00464FA1" w:rsidRDefault="00464FA1">
      <w:pPr>
        <w:pStyle w:val="BodyText"/>
        <w:rPr>
          <w:rFonts w:ascii="Times New Roman"/>
          <w:b/>
          <w:sz w:val="28"/>
        </w:rPr>
      </w:pPr>
    </w:p>
    <w:p w14:paraId="3856B0BE" w14:textId="77777777" w:rsidR="00464FA1" w:rsidRDefault="00464FA1">
      <w:pPr>
        <w:pStyle w:val="BodyText"/>
        <w:rPr>
          <w:rFonts w:ascii="Times New Roman"/>
          <w:b/>
          <w:sz w:val="28"/>
        </w:rPr>
      </w:pPr>
    </w:p>
    <w:p w14:paraId="70C74568" w14:textId="77777777" w:rsidR="00464FA1" w:rsidRDefault="00464FA1">
      <w:pPr>
        <w:pStyle w:val="BodyText"/>
        <w:rPr>
          <w:rFonts w:ascii="Times New Roman"/>
          <w:b/>
          <w:sz w:val="28"/>
        </w:rPr>
      </w:pPr>
    </w:p>
    <w:p w14:paraId="27BEA590" w14:textId="77777777" w:rsidR="00464FA1" w:rsidRDefault="00464FA1">
      <w:pPr>
        <w:pStyle w:val="BodyText"/>
        <w:rPr>
          <w:rFonts w:ascii="Times New Roman"/>
          <w:b/>
          <w:sz w:val="28"/>
        </w:rPr>
      </w:pPr>
    </w:p>
    <w:p w14:paraId="57E245AD" w14:textId="552FA8CB" w:rsidR="00464FA1" w:rsidRDefault="00AA4DCA">
      <w:pPr>
        <w:pStyle w:val="BodyText"/>
        <w:spacing w:before="162"/>
        <w:ind w:left="114"/>
      </w:pPr>
      <w:r>
        <w:rPr>
          <w:color w:val="231F20"/>
        </w:rPr>
        <w:t>The 201</w:t>
      </w:r>
      <w:r w:rsidR="00BF343A">
        <w:rPr>
          <w:color w:val="231F20"/>
        </w:rPr>
        <w:t>9</w:t>
      </w:r>
      <w:r>
        <w:rPr>
          <w:color w:val="231F20"/>
        </w:rPr>
        <w:t xml:space="preserve"> scholarships will be presented at NAANA’s Angel of Mercy Dinner.</w:t>
      </w:r>
    </w:p>
    <w:p w14:paraId="1E97D8D0" w14:textId="77777777" w:rsidR="00464FA1" w:rsidRDefault="00464FA1">
      <w:pPr>
        <w:pStyle w:val="BodyText"/>
        <w:spacing w:before="7"/>
        <w:rPr>
          <w:sz w:val="23"/>
        </w:rPr>
      </w:pPr>
    </w:p>
    <w:p w14:paraId="42656AAB" w14:textId="723E91D8" w:rsidR="00464FA1" w:rsidRDefault="00AA4DCA">
      <w:pPr>
        <w:pStyle w:val="BodyText"/>
        <w:ind w:left="114"/>
      </w:pPr>
      <w:r>
        <w:rPr>
          <w:color w:val="231F20"/>
        </w:rPr>
        <w:t xml:space="preserve">For additional information, visit us at </w:t>
      </w:r>
      <w:hyperlink r:id="rId8">
        <w:r>
          <w:rPr>
            <w:color w:val="231F20"/>
          </w:rPr>
          <w:t xml:space="preserve">www.n-aana.org </w:t>
        </w:r>
      </w:hyperlink>
      <w:r>
        <w:rPr>
          <w:color w:val="231F20"/>
        </w:rPr>
        <w:t xml:space="preserve">or </w:t>
      </w:r>
      <w:hyperlink r:id="rId9" w:history="1">
        <w:r w:rsidR="004E59F8" w:rsidRPr="008C4753">
          <w:rPr>
            <w:rStyle w:val="Hyperlink"/>
          </w:rPr>
          <w:t>http://n-aana.org/scholarship.html</w:t>
        </w:r>
      </w:hyperlink>
      <w:r w:rsidR="004E59F8">
        <w:rPr>
          <w:color w:val="231F20"/>
        </w:rPr>
        <w:t xml:space="preserve"> </w:t>
      </w:r>
      <w:bookmarkStart w:id="0" w:name="_GoBack"/>
      <w:bookmarkEnd w:id="0"/>
    </w:p>
    <w:sectPr w:rsidR="00464FA1">
      <w:type w:val="continuous"/>
      <w:pgSz w:w="12240" w:h="15840"/>
      <w:pgMar w:top="0" w:right="420" w:bottom="0" w:left="220" w:header="720" w:footer="720" w:gutter="0"/>
      <w:cols w:num="2" w:space="720" w:equalWidth="0">
        <w:col w:w="3982" w:space="1251"/>
        <w:col w:w="63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D5274"/>
    <w:multiLevelType w:val="hybridMultilevel"/>
    <w:tmpl w:val="C3D2DED0"/>
    <w:lvl w:ilvl="0" w:tplc="57B2C644">
      <w:numFmt w:val="bullet"/>
      <w:lvlText w:val="•"/>
      <w:lvlJc w:val="left"/>
      <w:pPr>
        <w:ind w:left="2836" w:hanging="360"/>
      </w:pPr>
      <w:rPr>
        <w:rFonts w:ascii="Tahoma" w:eastAsia="Tahoma" w:hAnsi="Tahoma" w:cs="Tahoma" w:hint="default"/>
        <w:color w:val="231F20"/>
        <w:spacing w:val="-5"/>
        <w:w w:val="100"/>
        <w:sz w:val="24"/>
        <w:szCs w:val="24"/>
      </w:rPr>
    </w:lvl>
    <w:lvl w:ilvl="1" w:tplc="98C8CE18">
      <w:numFmt w:val="bullet"/>
      <w:lvlText w:val="•"/>
      <w:lvlJc w:val="left"/>
      <w:pPr>
        <w:ind w:left="3136" w:hanging="360"/>
      </w:pPr>
      <w:rPr>
        <w:rFonts w:ascii="Tahoma" w:eastAsia="Tahoma" w:hAnsi="Tahoma" w:cs="Tahoma" w:hint="default"/>
        <w:color w:val="231F20"/>
        <w:spacing w:val="-5"/>
        <w:w w:val="100"/>
        <w:sz w:val="24"/>
        <w:szCs w:val="24"/>
      </w:rPr>
    </w:lvl>
    <w:lvl w:ilvl="2" w:tplc="1A0A4D02">
      <w:numFmt w:val="bullet"/>
      <w:lvlText w:val="•"/>
      <w:lvlJc w:val="left"/>
      <w:pPr>
        <w:ind w:left="3236" w:hanging="360"/>
      </w:pPr>
      <w:rPr>
        <w:rFonts w:ascii="Tahoma" w:eastAsia="Tahoma" w:hAnsi="Tahoma" w:cs="Tahoma" w:hint="default"/>
        <w:color w:val="231F20"/>
        <w:spacing w:val="-2"/>
        <w:w w:val="100"/>
        <w:sz w:val="24"/>
        <w:szCs w:val="24"/>
      </w:rPr>
    </w:lvl>
    <w:lvl w:ilvl="3" w:tplc="BA64361A">
      <w:numFmt w:val="bullet"/>
      <w:lvlText w:val="•"/>
      <w:lvlJc w:val="left"/>
      <w:pPr>
        <w:ind w:left="3596" w:hanging="360"/>
      </w:pPr>
      <w:rPr>
        <w:rFonts w:ascii="Tahoma" w:eastAsia="Tahoma" w:hAnsi="Tahoma" w:cs="Tahoma" w:hint="default"/>
        <w:color w:val="231F20"/>
        <w:spacing w:val="-6"/>
        <w:w w:val="99"/>
        <w:sz w:val="24"/>
        <w:szCs w:val="24"/>
      </w:rPr>
    </w:lvl>
    <w:lvl w:ilvl="4" w:tplc="FF5E66F2">
      <w:numFmt w:val="bullet"/>
      <w:lvlText w:val="•"/>
      <w:lvlJc w:val="left"/>
      <w:pPr>
        <w:ind w:left="3796" w:hanging="360"/>
      </w:pPr>
      <w:rPr>
        <w:rFonts w:ascii="Tahoma" w:eastAsia="Tahoma" w:hAnsi="Tahoma" w:cs="Tahoma" w:hint="default"/>
        <w:color w:val="231F20"/>
        <w:spacing w:val="-4"/>
        <w:w w:val="100"/>
        <w:sz w:val="24"/>
        <w:szCs w:val="24"/>
      </w:rPr>
    </w:lvl>
    <w:lvl w:ilvl="5" w:tplc="DA7C5FA0">
      <w:numFmt w:val="bullet"/>
      <w:lvlText w:val="•"/>
      <w:lvlJc w:val="left"/>
      <w:pPr>
        <w:ind w:left="4356" w:hanging="360"/>
      </w:pPr>
      <w:rPr>
        <w:rFonts w:ascii="Tahoma" w:eastAsia="Tahoma" w:hAnsi="Tahoma" w:cs="Tahoma" w:hint="default"/>
        <w:color w:val="231F20"/>
        <w:spacing w:val="-22"/>
        <w:w w:val="100"/>
        <w:sz w:val="24"/>
        <w:szCs w:val="24"/>
      </w:rPr>
    </w:lvl>
    <w:lvl w:ilvl="6" w:tplc="EFE60346">
      <w:numFmt w:val="bullet"/>
      <w:lvlText w:val="•"/>
      <w:lvlJc w:val="left"/>
      <w:pPr>
        <w:ind w:left="5808" w:hanging="360"/>
      </w:pPr>
      <w:rPr>
        <w:rFonts w:hint="default"/>
      </w:rPr>
    </w:lvl>
    <w:lvl w:ilvl="7" w:tplc="D1CE8136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6BC83E08">
      <w:numFmt w:val="bullet"/>
      <w:lvlText w:val="•"/>
      <w:lvlJc w:val="left"/>
      <w:pPr>
        <w:ind w:left="87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A1"/>
    <w:rsid w:val="00464FA1"/>
    <w:rsid w:val="004E59F8"/>
    <w:rsid w:val="00A470B2"/>
    <w:rsid w:val="00AA4DCA"/>
    <w:rsid w:val="00AF35CC"/>
    <w:rsid w:val="00BF343A"/>
    <w:rsid w:val="00F8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20BF"/>
  <w15:docId w15:val="{B5A123FD-43E9-4255-82C2-0345177B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8"/>
      <w:ind w:left="105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836" w:right="30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5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F8"/>
    <w:rPr>
      <w:rFonts w:ascii="Segoe UI" w:eastAsia="Tahom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9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aan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-aana.org/scholarsh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1205</Characters>
  <Application>Microsoft Office Word</Application>
  <DocSecurity>0</DocSecurity>
  <Lines>92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Tejada</dc:creator>
  <cp:lastModifiedBy>Theresa Tejada</cp:lastModifiedBy>
  <cp:revision>3</cp:revision>
  <cp:lastPrinted>2018-02-09T15:53:00Z</cp:lastPrinted>
  <dcterms:created xsi:type="dcterms:W3CDTF">2019-03-11T18:16:00Z</dcterms:created>
  <dcterms:modified xsi:type="dcterms:W3CDTF">2019-04-12T17:30:00Z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2018-02-09T00:00:00Z</vt:filetime>
  </property>
</Properties>
</file>